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B39" w:rsidRDefault="004E0B39" w:rsidP="004E0B39">
      <w:pPr>
        <w:ind w:firstLine="708"/>
        <w:jc w:val="center"/>
        <w:rPr>
          <w:b/>
          <w:sz w:val="28"/>
          <w:szCs w:val="28"/>
        </w:rPr>
      </w:pPr>
      <w:bookmarkStart w:id="0" w:name="_GoBack"/>
      <w:r>
        <w:rPr>
          <w:b/>
          <w:sz w:val="28"/>
          <w:szCs w:val="28"/>
        </w:rPr>
        <w:t xml:space="preserve">Bekanntmachung </w:t>
      </w:r>
    </w:p>
    <w:p w:rsidR="004E0B39" w:rsidRPr="000C0630" w:rsidRDefault="004E0B39" w:rsidP="004E0B39">
      <w:pPr>
        <w:rPr>
          <w:sz w:val="16"/>
          <w:szCs w:val="16"/>
        </w:rPr>
      </w:pPr>
    </w:p>
    <w:p w:rsidR="004E0B39" w:rsidRDefault="004E0B39" w:rsidP="004E0B39">
      <w:pPr>
        <w:jc w:val="center"/>
        <w:rPr>
          <w:b/>
          <w:szCs w:val="24"/>
        </w:rPr>
      </w:pPr>
      <w:r>
        <w:rPr>
          <w:b/>
          <w:szCs w:val="24"/>
        </w:rPr>
        <w:t xml:space="preserve">Inkrafttreten der </w:t>
      </w:r>
      <w:bookmarkStart w:id="1" w:name="_Hlk109197904"/>
      <w:r>
        <w:rPr>
          <w:b/>
          <w:szCs w:val="24"/>
        </w:rPr>
        <w:t xml:space="preserve">Einbeziehungssatzung </w:t>
      </w:r>
      <w:r>
        <w:rPr>
          <w:b/>
          <w:szCs w:val="24"/>
        </w:rPr>
        <w:t>„</w:t>
      </w:r>
      <w:r>
        <w:rPr>
          <w:b/>
          <w:szCs w:val="24"/>
        </w:rPr>
        <w:t>An den Feldäckern“ im Ortsteil</w:t>
      </w:r>
      <w:r>
        <w:rPr>
          <w:b/>
          <w:szCs w:val="24"/>
        </w:rPr>
        <w:t xml:space="preserve"> </w:t>
      </w:r>
      <w:r>
        <w:rPr>
          <w:b/>
          <w:szCs w:val="24"/>
        </w:rPr>
        <w:t>Lieskau</w:t>
      </w:r>
    </w:p>
    <w:bookmarkEnd w:id="1"/>
    <w:p w:rsidR="004E0B39" w:rsidRPr="000C0630" w:rsidRDefault="004E0B39" w:rsidP="004E0B39">
      <w:pPr>
        <w:rPr>
          <w:sz w:val="16"/>
          <w:szCs w:val="16"/>
        </w:rPr>
      </w:pPr>
    </w:p>
    <w:p w:rsidR="004E0B39" w:rsidRDefault="004E0B39" w:rsidP="004E0B39">
      <w:pPr>
        <w:jc w:val="both"/>
        <w:rPr>
          <w:rFonts w:cs="Arial"/>
          <w:szCs w:val="24"/>
        </w:rPr>
      </w:pPr>
      <w:r>
        <w:t xml:space="preserve">Der Gemeinderat der Gemeinde Salzatal hat am 07.05.2024 in öffentlicher Sitzung </w:t>
      </w:r>
      <w:r>
        <w:rPr>
          <w:bCs/>
          <w:szCs w:val="24"/>
        </w:rPr>
        <w:t xml:space="preserve">die </w:t>
      </w:r>
      <w:r w:rsidRPr="004E0B39">
        <w:rPr>
          <w:szCs w:val="24"/>
        </w:rPr>
        <w:t>Einbeziehungssatzung „An den Feldäckern“ im Ortsteil Lieskau</w:t>
      </w:r>
      <w:r>
        <w:t xml:space="preserve"> </w:t>
      </w:r>
      <w:r>
        <w:t xml:space="preserve">in der Fassung vom </w:t>
      </w:r>
      <w:r>
        <w:t>April</w:t>
      </w:r>
      <w:r>
        <w:t xml:space="preserve"> 2024, bestehend aus der</w:t>
      </w:r>
      <w:r>
        <w:t xml:space="preserve"> Planzeichnung, der Begründung und der Satzung </w:t>
      </w:r>
      <w:r>
        <w:t>beschlossen.</w:t>
      </w:r>
      <w:r>
        <w:rPr>
          <w:rFonts w:cs="Arial"/>
          <w:szCs w:val="24"/>
        </w:rPr>
        <w:t xml:space="preserve"> Die Begründung nebst Anlagen wurde gebilligt.</w:t>
      </w:r>
    </w:p>
    <w:p w:rsidR="004E0B39" w:rsidRPr="000C0630" w:rsidRDefault="004E0B39" w:rsidP="004E0B39">
      <w:pPr>
        <w:jc w:val="both"/>
        <w:rPr>
          <w:rFonts w:cs="Arial"/>
          <w:sz w:val="16"/>
          <w:szCs w:val="16"/>
        </w:rPr>
      </w:pPr>
    </w:p>
    <w:p w:rsidR="004E0B39" w:rsidRDefault="004E0B39" w:rsidP="004E0B39">
      <w:pPr>
        <w:jc w:val="both"/>
        <w:rPr>
          <w:rFonts w:cs="Arial"/>
          <w:szCs w:val="24"/>
        </w:rPr>
      </w:pPr>
      <w:r>
        <w:rPr>
          <w:bCs/>
          <w:szCs w:val="24"/>
        </w:rPr>
        <w:t xml:space="preserve">Die </w:t>
      </w:r>
      <w:r w:rsidRPr="004E0B39">
        <w:rPr>
          <w:szCs w:val="24"/>
        </w:rPr>
        <w:t>Einbeziehungssatzung „An den Feldäckern“ im Ortsteil Lieskau</w:t>
      </w:r>
      <w:r>
        <w:t xml:space="preserve"> tritt am </w:t>
      </w:r>
      <w:r>
        <w:rPr>
          <w:szCs w:val="24"/>
        </w:rPr>
        <w:t xml:space="preserve">Tage dieser Bekanntmachung </w:t>
      </w:r>
      <w:r>
        <w:rPr>
          <w:rFonts w:cs="Arial"/>
          <w:szCs w:val="24"/>
        </w:rPr>
        <w:t xml:space="preserve">in Kraft </w:t>
      </w:r>
      <w:r>
        <w:rPr>
          <w:szCs w:val="24"/>
        </w:rPr>
        <w:t>(§ 10 Abs. 3 BauGB).</w:t>
      </w:r>
    </w:p>
    <w:p w:rsidR="004E0B39" w:rsidRPr="000C0630" w:rsidRDefault="004E0B39" w:rsidP="004E0B39">
      <w:pPr>
        <w:jc w:val="both"/>
        <w:rPr>
          <w:rFonts w:cs="Arial"/>
          <w:sz w:val="16"/>
          <w:szCs w:val="16"/>
        </w:rPr>
      </w:pPr>
    </w:p>
    <w:p w:rsidR="004E0B39" w:rsidRDefault="004E0B39" w:rsidP="004E0B39">
      <w:pPr>
        <w:jc w:val="both"/>
        <w:rPr>
          <w:szCs w:val="24"/>
        </w:rPr>
      </w:pPr>
      <w:r>
        <w:rPr>
          <w:szCs w:val="24"/>
        </w:rPr>
        <w:t xml:space="preserve">Die </w:t>
      </w:r>
      <w:r w:rsidRPr="004E0B39">
        <w:rPr>
          <w:szCs w:val="24"/>
        </w:rPr>
        <w:t>Einbeziehungssatzung „An den Feldäckern“ im Ortsteil Lieskau</w:t>
      </w:r>
      <w:r>
        <w:t xml:space="preserve"> </w:t>
      </w:r>
      <w:r>
        <w:rPr>
          <w:szCs w:val="24"/>
        </w:rPr>
        <w:t xml:space="preserve">kann mit der Begründung ab dem Tag der Bekanntmachung im Verwaltungsgebäude II </w:t>
      </w:r>
      <w:r>
        <w:rPr>
          <w:snapToGrid w:val="0"/>
          <w:szCs w:val="24"/>
        </w:rPr>
        <w:t>d</w:t>
      </w:r>
      <w:r>
        <w:rPr>
          <w:rFonts w:cs="Arial"/>
          <w:szCs w:val="24"/>
        </w:rPr>
        <w:t>er Gemeinde Salzatal, Schulstraße 3 in 06198 Salzatal / OT Salzmünde wä</w:t>
      </w:r>
      <w:r>
        <w:rPr>
          <w:szCs w:val="24"/>
        </w:rPr>
        <w:t xml:space="preserve">hrend der verwaltungsüblichen Sprechzeiten von jedermann eingesehen werden. </w:t>
      </w:r>
      <w:r>
        <w:rPr>
          <w:rFonts w:cs="Arial"/>
          <w:szCs w:val="24"/>
        </w:rPr>
        <w:t>Auf Verlangen wird über den Inhalt des Bebauungsplanes Auskunft gegeben. D</w:t>
      </w:r>
      <w:r>
        <w:rPr>
          <w:szCs w:val="24"/>
        </w:rPr>
        <w:t>es Weiteren kann der Bebauungsplan auf der Internetseite der Gemeinde</w:t>
      </w:r>
      <w:r w:rsidR="000C0630">
        <w:rPr>
          <w:szCs w:val="24"/>
        </w:rPr>
        <w:t xml:space="preserve"> unter </w:t>
      </w:r>
      <w:hyperlink w:history="1">
        <w:r w:rsidR="000C0630" w:rsidRPr="00594008">
          <w:rPr>
            <w:rStyle w:val="Hyperlink"/>
            <w:szCs w:val="24"/>
          </w:rPr>
          <w:t xml:space="preserve">www.gemeinde-salzatal.de </w:t>
        </w:r>
        <w:r w:rsidR="000C0630" w:rsidRPr="00594008">
          <w:rPr>
            <w:rStyle w:val="Hyperlink"/>
            <w:rFonts w:cs="Arial"/>
            <w:szCs w:val="24"/>
          </w:rPr>
          <w:t>→</w:t>
        </w:r>
        <w:r w:rsidR="000C0630" w:rsidRPr="00594008">
          <w:rPr>
            <w:rStyle w:val="Hyperlink"/>
            <w:szCs w:val="24"/>
          </w:rPr>
          <w:t xml:space="preserve"> Bürger &amp; Verwaltung </w:t>
        </w:r>
        <w:r w:rsidR="000C0630" w:rsidRPr="00594008">
          <w:rPr>
            <w:rStyle w:val="Hyperlink"/>
            <w:rFonts w:cs="Arial"/>
            <w:szCs w:val="24"/>
          </w:rPr>
          <w:t xml:space="preserve">→ </w:t>
        </w:r>
        <w:r w:rsidR="000C0630" w:rsidRPr="00594008">
          <w:rPr>
            <w:rStyle w:val="Hyperlink"/>
            <w:szCs w:val="24"/>
          </w:rPr>
          <w:t xml:space="preserve">Bauleitplanung </w:t>
        </w:r>
        <w:r w:rsidR="000C0630" w:rsidRPr="00594008">
          <w:rPr>
            <w:rStyle w:val="Hyperlink"/>
            <w:rFonts w:cs="Arial"/>
            <w:szCs w:val="24"/>
          </w:rPr>
          <w:t>→</w:t>
        </w:r>
        <w:r w:rsidR="000C0630" w:rsidRPr="00594008">
          <w:rPr>
            <w:rStyle w:val="Hyperlink"/>
            <w:szCs w:val="24"/>
          </w:rPr>
          <w:t xml:space="preserve"> Bauleitpläne</w:t>
        </w:r>
      </w:hyperlink>
      <w:r w:rsidR="000C0630">
        <w:rPr>
          <w:szCs w:val="24"/>
        </w:rPr>
        <w:t xml:space="preserve"> </w:t>
      </w:r>
      <w:r>
        <w:rPr>
          <w:szCs w:val="24"/>
        </w:rPr>
        <w:t xml:space="preserve">eingesehen werden. </w:t>
      </w:r>
    </w:p>
    <w:p w:rsidR="004E0B39" w:rsidRPr="000C0630" w:rsidRDefault="004E0B39" w:rsidP="004E0B39">
      <w:pPr>
        <w:rPr>
          <w:sz w:val="16"/>
          <w:szCs w:val="16"/>
        </w:rPr>
      </w:pPr>
    </w:p>
    <w:p w:rsidR="004E0B39" w:rsidRDefault="004E0B39" w:rsidP="004E0B39">
      <w:pPr>
        <w:jc w:val="both"/>
        <w:rPr>
          <w:rFonts w:cs="Arial"/>
          <w:szCs w:val="24"/>
        </w:rPr>
      </w:pPr>
      <w:r>
        <w:rPr>
          <w:rFonts w:cs="Arial"/>
          <w:szCs w:val="24"/>
        </w:rPr>
        <w:t xml:space="preserve">Auf die Voraussetzungen für die Geltendmachung der Verletzung von Verfahrens- und Formvorschriften und von Mängeln der Abwägung sowie die Rechtsfolgen des § 215 Abs. 1 BauGB wird hingewiesen. </w:t>
      </w:r>
    </w:p>
    <w:p w:rsidR="004E0B39" w:rsidRPr="000C0630" w:rsidRDefault="004E0B39" w:rsidP="004E0B39">
      <w:pPr>
        <w:jc w:val="both"/>
        <w:rPr>
          <w:rFonts w:cs="Arial"/>
          <w:sz w:val="16"/>
          <w:szCs w:val="16"/>
        </w:rPr>
      </w:pPr>
    </w:p>
    <w:p w:rsidR="004E0B39" w:rsidRDefault="000C0630" w:rsidP="004E0B39">
      <w:pPr>
        <w:jc w:val="both"/>
        <w:rPr>
          <w:rFonts w:cs="Arial"/>
          <w:szCs w:val="24"/>
        </w:rPr>
      </w:pPr>
      <w:r>
        <w:rPr>
          <w:rFonts w:cs="Arial"/>
          <w:szCs w:val="24"/>
        </w:rPr>
        <w:t xml:space="preserve">Gemäß § 215 Abs. 1 BauGB werden </w:t>
      </w:r>
      <w:r>
        <w:rPr>
          <w:rFonts w:cs="Arial"/>
          <w:szCs w:val="24"/>
        </w:rPr>
        <w:t>demnach</w:t>
      </w:r>
      <w:r>
        <w:rPr>
          <w:rFonts w:cs="Arial"/>
          <w:szCs w:val="24"/>
        </w:rPr>
        <w:t xml:space="preserve"> unbeachtlich</w:t>
      </w:r>
      <w:r w:rsidR="004E0B39">
        <w:rPr>
          <w:rFonts w:cs="Arial"/>
          <w:szCs w:val="24"/>
        </w:rPr>
        <w:t>:</w:t>
      </w:r>
    </w:p>
    <w:p w:rsidR="004E0B39" w:rsidRDefault="004E0B39" w:rsidP="004E0B39">
      <w:pPr>
        <w:numPr>
          <w:ilvl w:val="0"/>
          <w:numId w:val="1"/>
        </w:numPr>
        <w:jc w:val="both"/>
        <w:rPr>
          <w:rFonts w:cs="Arial"/>
          <w:szCs w:val="24"/>
        </w:rPr>
      </w:pPr>
      <w:r>
        <w:rPr>
          <w:rFonts w:cs="Arial"/>
          <w:szCs w:val="24"/>
        </w:rPr>
        <w:t>eine nach § 214 Abs. 1 Satz 1 Nr. 1 bis 3 BauGB beachtliche Verletzung der dort bezeichneten Verfahrens- und Formvorschriften,</w:t>
      </w:r>
    </w:p>
    <w:p w:rsidR="004E0B39" w:rsidRDefault="004E0B39" w:rsidP="004E0B39">
      <w:pPr>
        <w:numPr>
          <w:ilvl w:val="0"/>
          <w:numId w:val="1"/>
        </w:numPr>
        <w:jc w:val="both"/>
        <w:rPr>
          <w:rFonts w:cs="Arial"/>
          <w:szCs w:val="24"/>
        </w:rPr>
      </w:pPr>
      <w:r>
        <w:rPr>
          <w:rFonts w:cs="Arial"/>
          <w:szCs w:val="24"/>
        </w:rPr>
        <w:t>eine unter Berücksichtigung des § 214 Abs. 2 BauGB beachtliche Verletzung der Vorschriften über das Verhältnis des Bebauungsplans und des Flächennutzungsplans und</w:t>
      </w:r>
    </w:p>
    <w:p w:rsidR="004E0B39" w:rsidRDefault="004E0B39" w:rsidP="004E0B39">
      <w:pPr>
        <w:numPr>
          <w:ilvl w:val="0"/>
          <w:numId w:val="1"/>
        </w:numPr>
        <w:jc w:val="both"/>
        <w:rPr>
          <w:rFonts w:cs="Arial"/>
          <w:szCs w:val="24"/>
        </w:rPr>
      </w:pPr>
      <w:r>
        <w:rPr>
          <w:rFonts w:cs="Arial"/>
          <w:szCs w:val="24"/>
        </w:rPr>
        <w:t xml:space="preserve">nach § 214 Abs. 3 Satz 2 BauGB beachtliche Mängel des Abwägungsvorgangs, </w:t>
      </w:r>
    </w:p>
    <w:p w:rsidR="004E0B39" w:rsidRDefault="004E0B39" w:rsidP="000C0630">
      <w:pPr>
        <w:ind w:left="708"/>
        <w:jc w:val="both"/>
      </w:pPr>
      <w:r>
        <w:t>wenn sie nicht innerhalb eines Jahres seit dieser Bekanntmachung schriftlich gegenüber der Gemeinde Salzatal geltend gemacht worden sind. Dabei ist der Sachverhalt, der die Verletzung oder den Mangel begründen soll, darzulegen (§ 215 Abs. 1 BauGB).</w:t>
      </w:r>
    </w:p>
    <w:p w:rsidR="004E0B39" w:rsidRPr="000C0630" w:rsidRDefault="004E0B39" w:rsidP="004E0B39">
      <w:pPr>
        <w:jc w:val="both"/>
        <w:rPr>
          <w:sz w:val="16"/>
          <w:szCs w:val="16"/>
        </w:rPr>
      </w:pPr>
    </w:p>
    <w:p w:rsidR="004E0B39" w:rsidRDefault="004E0B39" w:rsidP="004E0B39">
      <w:pPr>
        <w:jc w:val="both"/>
        <w:rPr>
          <w:rFonts w:cs="Arial"/>
          <w:szCs w:val="24"/>
        </w:rPr>
      </w:pPr>
      <w:r>
        <w:rPr>
          <w:rFonts w:cs="Arial"/>
          <w:szCs w:val="24"/>
        </w:rPr>
        <w:t xml:space="preserve">Außerdem wird auf die Vorschriften des § 44 Abs. 3 Satz 1 und 2 sowie Abs. 4 BauGB hingewiesen. Danach erlöschen Entschädigungsansprüche für nach den §§ 39 bis 42 BauGB eingetretene Vermögensnachteile, wenn nicht innerhalb von drei Jahren nach Ablauf des Kalenderjahres, in dem die Vermögensnachteile eingetreten sind, die Fälligkeit des Anspruchs herbeigeführt wird. </w:t>
      </w:r>
    </w:p>
    <w:p w:rsidR="004E0B39" w:rsidRPr="000C0630" w:rsidRDefault="004E0B39" w:rsidP="004E0B39">
      <w:pPr>
        <w:jc w:val="both"/>
        <w:rPr>
          <w:sz w:val="16"/>
          <w:szCs w:val="16"/>
        </w:rPr>
      </w:pPr>
    </w:p>
    <w:p w:rsidR="000C0630" w:rsidRPr="000C0630" w:rsidRDefault="000C0630" w:rsidP="000C0630">
      <w:pPr>
        <w:autoSpaceDE w:val="0"/>
        <w:autoSpaceDN w:val="0"/>
        <w:adjustRightInd w:val="0"/>
        <w:jc w:val="both"/>
        <w:rPr>
          <w:rFonts w:cs="Arial"/>
          <w:szCs w:val="24"/>
        </w:rPr>
      </w:pPr>
      <w:r w:rsidRPr="000C0630">
        <w:rPr>
          <w:rFonts w:eastAsiaTheme="minorHAnsi" w:cs="Arial"/>
          <w:szCs w:val="24"/>
          <w:lang w:eastAsia="en-US"/>
        </w:rPr>
        <w:t>Ferner wird auf die Rechtsfolgen gemäß § 8 Abs. 3</w:t>
      </w:r>
      <w:r>
        <w:rPr>
          <w:rFonts w:eastAsiaTheme="minorHAnsi" w:cs="Arial"/>
          <w:szCs w:val="24"/>
          <w:lang w:eastAsia="en-US"/>
        </w:rPr>
        <w:t xml:space="preserve"> </w:t>
      </w:r>
      <w:r w:rsidRPr="000C0630">
        <w:rPr>
          <w:rFonts w:eastAsiaTheme="minorHAnsi" w:cs="Arial"/>
          <w:szCs w:val="24"/>
          <w:lang w:eastAsia="en-US"/>
        </w:rPr>
        <w:t>Kommunalverfassungsgesetz Land Sachsen-Anhalt</w:t>
      </w:r>
      <w:r>
        <w:rPr>
          <w:rFonts w:eastAsiaTheme="minorHAnsi" w:cs="Arial"/>
          <w:szCs w:val="24"/>
          <w:lang w:eastAsia="en-US"/>
        </w:rPr>
        <w:t xml:space="preserve"> </w:t>
      </w:r>
      <w:r w:rsidRPr="000C0630">
        <w:rPr>
          <w:rFonts w:eastAsiaTheme="minorHAnsi" w:cs="Arial"/>
          <w:szCs w:val="24"/>
          <w:lang w:eastAsia="en-US"/>
        </w:rPr>
        <w:t>(KVG LSA) hingewiesen. Danach ist eine Verletzung von</w:t>
      </w:r>
      <w:r>
        <w:rPr>
          <w:rFonts w:eastAsiaTheme="minorHAnsi" w:cs="Arial"/>
          <w:szCs w:val="24"/>
          <w:lang w:eastAsia="en-US"/>
        </w:rPr>
        <w:t xml:space="preserve"> </w:t>
      </w:r>
      <w:r w:rsidRPr="000C0630">
        <w:rPr>
          <w:rFonts w:eastAsiaTheme="minorHAnsi" w:cs="Arial"/>
          <w:szCs w:val="24"/>
          <w:lang w:eastAsia="en-US"/>
        </w:rPr>
        <w:t>Ver</w:t>
      </w:r>
      <w:r>
        <w:rPr>
          <w:rFonts w:eastAsiaTheme="minorHAnsi" w:cs="Arial"/>
          <w:szCs w:val="24"/>
          <w:lang w:eastAsia="en-US"/>
        </w:rPr>
        <w:softHyphen/>
      </w:r>
      <w:r w:rsidRPr="000C0630">
        <w:rPr>
          <w:rFonts w:eastAsiaTheme="minorHAnsi" w:cs="Arial"/>
          <w:szCs w:val="24"/>
          <w:lang w:eastAsia="en-US"/>
        </w:rPr>
        <w:t>fahr</w:t>
      </w:r>
      <w:r>
        <w:rPr>
          <w:rFonts w:eastAsiaTheme="minorHAnsi" w:cs="Arial"/>
          <w:szCs w:val="24"/>
          <w:lang w:eastAsia="en-US"/>
        </w:rPr>
        <w:softHyphen/>
      </w:r>
      <w:r w:rsidRPr="000C0630">
        <w:rPr>
          <w:rFonts w:eastAsiaTheme="minorHAnsi" w:cs="Arial"/>
          <w:szCs w:val="24"/>
          <w:lang w:eastAsia="en-US"/>
        </w:rPr>
        <w:t>ens- oder Formvorschriften unbeachtlich, wenn</w:t>
      </w:r>
      <w:r>
        <w:rPr>
          <w:rFonts w:eastAsiaTheme="minorHAnsi" w:cs="Arial"/>
          <w:szCs w:val="24"/>
          <w:lang w:eastAsia="en-US"/>
        </w:rPr>
        <w:t xml:space="preserve"> </w:t>
      </w:r>
      <w:r w:rsidRPr="000C0630">
        <w:rPr>
          <w:rFonts w:eastAsiaTheme="minorHAnsi" w:cs="Arial"/>
          <w:szCs w:val="24"/>
          <w:lang w:eastAsia="en-US"/>
        </w:rPr>
        <w:t>eine Satzung, unter Verletzung von Verfahrens- oder</w:t>
      </w:r>
      <w:r>
        <w:rPr>
          <w:rFonts w:eastAsiaTheme="minorHAnsi" w:cs="Arial"/>
          <w:szCs w:val="24"/>
          <w:lang w:eastAsia="en-US"/>
        </w:rPr>
        <w:t xml:space="preserve"> </w:t>
      </w:r>
      <w:r w:rsidRPr="000C0630">
        <w:rPr>
          <w:rFonts w:eastAsiaTheme="minorHAnsi" w:cs="Arial"/>
          <w:szCs w:val="24"/>
          <w:lang w:eastAsia="en-US"/>
        </w:rPr>
        <w:t>Formvorschriften, die in diesem Gesetz enthalten oder</w:t>
      </w:r>
      <w:r>
        <w:rPr>
          <w:rFonts w:eastAsiaTheme="minorHAnsi" w:cs="Arial"/>
          <w:szCs w:val="24"/>
          <w:lang w:eastAsia="en-US"/>
        </w:rPr>
        <w:t xml:space="preserve"> </w:t>
      </w:r>
      <w:r w:rsidRPr="000C0630">
        <w:rPr>
          <w:rFonts w:eastAsiaTheme="minorHAnsi" w:cs="Arial"/>
          <w:szCs w:val="24"/>
          <w:lang w:eastAsia="en-US"/>
        </w:rPr>
        <w:t>aufgrund dieses Gesetzes erlassen worden ist, zustande</w:t>
      </w:r>
      <w:r>
        <w:rPr>
          <w:rFonts w:eastAsiaTheme="minorHAnsi" w:cs="Arial"/>
          <w:szCs w:val="24"/>
          <w:lang w:eastAsia="en-US"/>
        </w:rPr>
        <w:t xml:space="preserve"> </w:t>
      </w:r>
      <w:r w:rsidRPr="000C0630">
        <w:rPr>
          <w:rFonts w:eastAsiaTheme="minorHAnsi" w:cs="Arial"/>
          <w:szCs w:val="24"/>
          <w:lang w:eastAsia="en-US"/>
        </w:rPr>
        <w:t>gekommen ist, und sie nicht schriftlich innerhalb eines</w:t>
      </w:r>
      <w:r>
        <w:rPr>
          <w:rFonts w:eastAsiaTheme="minorHAnsi" w:cs="Arial"/>
          <w:szCs w:val="24"/>
          <w:lang w:eastAsia="en-US"/>
        </w:rPr>
        <w:t xml:space="preserve"> </w:t>
      </w:r>
      <w:r w:rsidRPr="000C0630">
        <w:rPr>
          <w:rFonts w:eastAsiaTheme="minorHAnsi" w:cs="Arial"/>
          <w:szCs w:val="24"/>
          <w:lang w:eastAsia="en-US"/>
        </w:rPr>
        <w:t>Jahres seit Bekanntmachung der Satzung gegenüber der</w:t>
      </w:r>
      <w:r>
        <w:rPr>
          <w:rFonts w:eastAsiaTheme="minorHAnsi" w:cs="Arial"/>
          <w:szCs w:val="24"/>
          <w:lang w:eastAsia="en-US"/>
        </w:rPr>
        <w:t xml:space="preserve"> </w:t>
      </w:r>
      <w:r w:rsidRPr="000C0630">
        <w:rPr>
          <w:rFonts w:eastAsiaTheme="minorHAnsi" w:cs="Arial"/>
          <w:szCs w:val="24"/>
          <w:lang w:eastAsia="en-US"/>
        </w:rPr>
        <w:t>Kommune geltend gemacht worden ist. Dabei sind die</w:t>
      </w:r>
      <w:r>
        <w:rPr>
          <w:rFonts w:eastAsiaTheme="minorHAnsi" w:cs="Arial"/>
          <w:szCs w:val="24"/>
          <w:lang w:eastAsia="en-US"/>
        </w:rPr>
        <w:t xml:space="preserve"> </w:t>
      </w:r>
      <w:r w:rsidRPr="000C0630">
        <w:rPr>
          <w:rFonts w:eastAsiaTheme="minorHAnsi" w:cs="Arial"/>
          <w:szCs w:val="24"/>
          <w:lang w:eastAsia="en-US"/>
        </w:rPr>
        <w:t>verletzte Vorschrift und die Tatsache, die den Mangel</w:t>
      </w:r>
      <w:r>
        <w:rPr>
          <w:rFonts w:eastAsiaTheme="minorHAnsi" w:cs="Arial"/>
          <w:szCs w:val="24"/>
          <w:lang w:eastAsia="en-US"/>
        </w:rPr>
        <w:t xml:space="preserve"> </w:t>
      </w:r>
      <w:r w:rsidRPr="000C0630">
        <w:rPr>
          <w:rFonts w:eastAsiaTheme="minorHAnsi" w:cs="Arial"/>
          <w:szCs w:val="24"/>
          <w:lang w:eastAsia="en-US"/>
        </w:rPr>
        <w:t>ergibt, zu bezeichnen.</w:t>
      </w:r>
    </w:p>
    <w:p w:rsidR="004E0B39" w:rsidRPr="000C0630" w:rsidRDefault="004E0B39" w:rsidP="004E0B39">
      <w:pPr>
        <w:rPr>
          <w:sz w:val="16"/>
          <w:szCs w:val="16"/>
        </w:rPr>
      </w:pPr>
    </w:p>
    <w:p w:rsidR="004E0B39" w:rsidRDefault="004E0B39" w:rsidP="004E0B39">
      <w:r>
        <w:t xml:space="preserve">Salzatal, den 15. Juli </w:t>
      </w:r>
      <w:r>
        <w:t>2024</w:t>
      </w:r>
      <w:r>
        <w:tab/>
      </w:r>
      <w:r>
        <w:tab/>
      </w:r>
      <w:r>
        <w:tab/>
      </w:r>
      <w:r>
        <w:tab/>
      </w:r>
    </w:p>
    <w:p w:rsidR="000C0630" w:rsidRPr="000C0630" w:rsidRDefault="000C0630" w:rsidP="004E0B39">
      <w:pPr>
        <w:rPr>
          <w:sz w:val="16"/>
          <w:szCs w:val="16"/>
        </w:rPr>
      </w:pPr>
    </w:p>
    <w:p w:rsidR="004E0B39" w:rsidRDefault="000C0630" w:rsidP="004E0B39">
      <w:r>
        <w:t xml:space="preserve">gez. Ina </w:t>
      </w:r>
      <w:r w:rsidR="004E0B39">
        <w:t>Zimmermann</w:t>
      </w:r>
    </w:p>
    <w:p w:rsidR="00A25EBB" w:rsidRDefault="004E0B39">
      <w:r>
        <w:t>Bürgermeisterin</w:t>
      </w:r>
      <w:bookmarkEnd w:id="0"/>
    </w:p>
    <w:sectPr w:rsidR="00A25EBB" w:rsidSect="000C0630">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67F7E"/>
    <w:multiLevelType w:val="hybridMultilevel"/>
    <w:tmpl w:val="B844B30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FCD"/>
    <w:rsid w:val="000C0630"/>
    <w:rsid w:val="00300FCD"/>
    <w:rsid w:val="004E0B39"/>
    <w:rsid w:val="00A25E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47863"/>
  <w15:chartTrackingRefBased/>
  <w15:docId w15:val="{A3754396-74AA-4155-9538-56EB6CEA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0B39"/>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C0630"/>
    <w:rPr>
      <w:color w:val="0563C1" w:themeColor="hyperlink"/>
      <w:u w:val="single"/>
    </w:rPr>
  </w:style>
  <w:style w:type="character" w:styleId="Platzhaltertext">
    <w:name w:val="Placeholder Text"/>
    <w:basedOn w:val="Absatz-Standardschriftart"/>
    <w:uiPriority w:val="99"/>
    <w:semiHidden/>
    <w:rsid w:val="000C06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18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2657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Hanstein, Franziska</dc:creator>
  <cp:keywords/>
  <dc:description/>
  <cp:lastModifiedBy>Hanstein, Franziska</cp:lastModifiedBy>
  <cp:revision>2</cp:revision>
  <dcterms:created xsi:type="dcterms:W3CDTF">2024-06-17T06:42:00Z</dcterms:created>
  <dcterms:modified xsi:type="dcterms:W3CDTF">2024-06-17T06:42:00Z</dcterms:modified>
</cp:coreProperties>
</file>